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00000"/>
        </w:rPr>
        <w:t>Ahmad Choueib</w:t>
      </w:r>
    </w:p>
    <w:p>
      <w:pPr>
        <w:pStyle w:val="Subtitle"/>
        <w:keepNext/>
      </w:pPr>
      <w:r>
        <w:rPr>
          <w:b/>
          <w:color w:val="000000"/>
          <w:sz w:val="23"/>
        </w:rPr>
        <w:t>IT and AI Implementation Specialist</w:t>
      </w:r>
    </w:p>
    <w:p>
      <w:pPr>
        <w:pStyle w:val="Subtitle"/>
        <w:keepNext/>
      </w:pPr>
      <w:r>
        <w:rPr>
          <w:b w:val="0"/>
          <w:color w:val="000000"/>
          <w:sz w:val="21"/>
        </w:rPr>
        <w:t>Full Stack Development and Team Training</w:t>
      </w:r>
    </w:p>
    <w:p>
      <w:pPr>
        <w:spacing w:before="80" w:after="40"/>
      </w:pPr>
      <w:r>
        <w:rPr>
          <w:color w:val="4A4A4A"/>
          <w:sz w:val="19"/>
        </w:rPr>
        <w:t xml:space="preserve">Beirut, Lebanon  |  +961 76 019 982  |  </w:t>
      </w:r>
      <w:hyperlink r:id="rId10">
        <w:r>
          <w:rPr>
            <w:rFonts w:ascii="Arial" w:hAnsi="Arial"/>
            <w:sz w:val="19"/>
            <w:color w:val="303030"/>
          </w:rPr>
          <w:t>ahmad@mabni.org</w:t>
        </w:r>
      </w:hyperlink>
    </w:p>
    <w:p>
      <w:pPr>
        <w:spacing w:after="40"/>
      </w:pPr>
      <w:hyperlink r:id="rId13">
        <w:r>
          <w:rPr>
            <w:rFonts w:ascii="Arial" w:hAnsi="Arial"/>
            <w:sz w:val="18"/>
            <w:color w:val="000000"/>
          </w:rPr>
          <w:t>ahmad.mabni.org</w:t>
        </w:r>
      </w:hyperlink>
      <w:r>
        <w:rPr>
          <w:sz w:val="18"/>
        </w:rPr>
        <w:t xml:space="preserve">  |  </w:t>
      </w:r>
      <w:hyperlink r:id="rId14">
        <w:r>
          <w:rPr>
            <w:rFonts w:ascii="Arial" w:hAnsi="Arial"/>
            <w:sz w:val="18"/>
            <w:color w:val="000000"/>
          </w:rPr>
          <w:t>linkedin.com/in/ahmadchoueib</w:t>
        </w:r>
      </w:hyperlink>
    </w:p>
    <w:p>
      <w:pPr>
        <w:pStyle w:val="Heading1"/>
      </w:pPr>
      <w:r>
        <w:rPr>
          <w:color w:val="000000"/>
        </w:rPr>
        <w:t>PROFESSIONAL SUMMARY</w:t>
      </w:r>
    </w:p>
    <w:p>
      <w:pPr>
        <w:keepLines/>
      </w:pPr>
      <w:r>
        <w:t>IT and AI implementation specialist and full stack developer with more than eight years in technology education. Support organizational IT, administer ChatGPT workspaces and train teams in ChatGPT, Codex and Microsoft 365. Founder of MABNI, delivering websites, dashboards and operational systems from requirements to deployment, alongside university teaching in computing and applied AI.</w:t>
      </w:r>
    </w:p>
    <w:p>
      <w:pPr>
        <w:pStyle w:val="Heading1"/>
      </w:pPr>
      <w:r>
        <w:rPr>
          <w:color w:val="000000"/>
        </w:rPr>
        <w:t>CORE SKILLS</w:t>
      </w:r>
    </w:p>
    <w:p>
      <w:pPr>
        <w:keepLines/>
      </w:pPr>
      <w:r>
        <w:t>AI implementation and team training | ChatGPT workspace administration | Codex | Microsoft 365 | IT operations | Networking | Node.js/MySQL | Websites and dashboards</w:t>
      </w:r>
    </w:p>
    <w:p>
      <w:pPr>
        <w:pStyle w:val="Heading1"/>
      </w:pPr>
      <w:r>
        <w:rPr>
          <w:color w:val="000000"/>
        </w:rPr>
        <w:t>PROFESSIONAL EXPERIENCE</w:t>
      </w:r>
    </w:p>
    <w:p>
      <w:pPr>
        <w:pStyle w:val="Heading2"/>
        <w:spacing w:before="180"/>
      </w:pPr>
      <w:r>
        <w:rPr>
          <w:color w:val="000000"/>
        </w:rPr>
        <w:t>Computer Educator and IT Specialist</w:t>
      </w:r>
    </w:p>
    <w:p>
      <w:pPr>
        <w:keepNext/>
        <w:spacing w:after="60"/>
      </w:pPr>
      <w:r>
        <w:rPr>
          <w:b/>
          <w:sz w:val="19"/>
        </w:rPr>
        <w:t xml:space="preserve">Tahaddi Lebanon  |  </w:t>
      </w:r>
      <w:r>
        <w:rPr>
          <w:sz w:val="19"/>
        </w:rPr>
        <w:t>Beirut, Lebanon  |  March 2018 - Present</w:t>
      </w:r>
    </w:p>
    <w:p>
      <w:pPr>
        <w:keepNext/>
        <w:spacing w:after="100"/>
      </w:pPr>
      <w:r>
        <w:rPr>
          <w:i/>
          <w:color w:val="4A4A4A"/>
          <w:sz w:val="19"/>
        </w:rPr>
        <w:t>Organizational IT responsibilities formally expanded effective 1 August 2026.</w:t>
      </w:r>
    </w:p>
    <w:p>
      <w:pPr>
        <w:pStyle w:val="ListBullet"/>
      </w:pPr>
      <w:r>
        <w:t>Manage ChatGPT workspace setup and staff support; implement AI workflows and train teams in effective ChatGPT, Codex and Microsoft 365 use, including output review and code testing.</w:t>
      </w:r>
    </w:p>
    <w:p>
      <w:pPr>
        <w:pStyle w:val="ListBullet"/>
      </w:pPr>
      <w:r>
        <w:t>Support staff accounts, Outlook, SharePoint and OneDrive; troubleshoot Windows devices, software and connectivity, and prepare equipment for staff and lab use.</w:t>
      </w:r>
    </w:p>
    <w:p>
      <w:pPr>
        <w:pStyle w:val="ListBullet"/>
      </w:pPr>
      <w:r>
        <w:t>Build custom systems and dashboards for scheduling, attendance, permissions, reporting and local/online workflows. Maintain websites and support secure backups.</w:t>
      </w:r>
    </w:p>
    <w:p>
      <w:pPr>
        <w:pStyle w:val="ListBullet"/>
      </w:pPr>
      <w:r>
        <w:t>Standardized staff wireless configurations across 11 wireless devices, including SSIDs, radio channels, firmware maintenance and management security.</w:t>
      </w:r>
    </w:p>
    <w:p>
      <w:pPr>
        <w:pStyle w:val="ListBullet"/>
      </w:pPr>
      <w:r>
        <w:t>Built a local attendance application with 283 student records, profiles, reporting, exports and backups.</w:t>
      </w:r>
    </w:p>
    <w:p>
      <w:pPr>
        <w:pStyle w:val="ListBullet"/>
      </w:pPr>
      <w:r>
        <w:t>Design and teach digital literacy, Office, coding and STEAM; create practical assessments and local learning activities for children and youth.</w:t>
      </w:r>
    </w:p>
    <w:p>
      <w:pPr>
        <w:pStyle w:val="Heading2"/>
        <w:spacing w:before="180"/>
      </w:pPr>
      <w:r>
        <w:rPr>
          <w:color w:val="000000"/>
        </w:rPr>
        <w:t>Computer Science Lecturer and Project Supervisor</w:t>
      </w:r>
    </w:p>
    <w:p>
      <w:pPr>
        <w:keepNext/>
        <w:spacing w:after="60"/>
      </w:pPr>
      <w:r>
        <w:rPr>
          <w:b/>
          <w:sz w:val="19"/>
        </w:rPr>
        <w:t xml:space="preserve">EGS University  |  </w:t>
      </w:r>
      <w:r>
        <w:rPr>
          <w:sz w:val="19"/>
        </w:rPr>
        <w:t>European Global School  |  Remote  |  September 2022 - Present</w:t>
      </w:r>
    </w:p>
    <w:p>
      <w:pPr>
        <w:pStyle w:val="ListBullet"/>
      </w:pPr>
      <w:r>
        <w:t>Teach programming, databases, web development and applied computing online; develop guided materials for learners with varied technical backgrounds.</w:t>
      </w:r>
    </w:p>
    <w:p>
      <w:pPr>
        <w:pStyle w:val="ListBullet"/>
      </w:pPr>
      <w:r>
        <w:t>Guide Teachable Machine, Dify chatbot and Python/scikit-learn projects, including data preparation, model evaluation and predictions on new data.</w:t>
      </w:r>
    </w:p>
    <w:p>
      <w:pPr>
        <w:pStyle w:val="ListBullet"/>
      </w:pPr>
      <w:r>
        <w:t>Supervise web/mobile projects through requirements, implementation, testing and presentation, and assess graduation projects.</w:t>
      </w:r>
    </w:p>
    <w:p>
      <w:pPr>
        <w:pStyle w:val="ListBullet"/>
      </w:pPr>
      <w:r>
        <w:t>Prepare Python and Android Studio lessons and computing curricula with worked examples, installation guidance and project-based assessment.</w:t>
      </w:r>
    </w:p>
    <w:p>
      <w:pPr>
        <w:pStyle w:val="Heading1"/>
        <w:pageBreakBefore/>
      </w:pPr>
      <w:r>
        <w:rPr>
          <w:color w:val="000000"/>
        </w:rPr>
        <w:t>PROFESSIONAL EXPERIENCE CONTINUED</w:t>
      </w:r>
    </w:p>
    <w:p>
      <w:pPr>
        <w:pStyle w:val="Heading2"/>
        <w:spacing w:before="180"/>
      </w:pPr>
      <w:r>
        <w:rPr>
          <w:color w:val="000000"/>
        </w:rPr>
        <w:t>Technology Trainer and IT Consultant</w:t>
      </w:r>
    </w:p>
    <w:p>
      <w:pPr>
        <w:keepNext/>
        <w:spacing w:after="60"/>
      </w:pPr>
      <w:r>
        <w:rPr>
          <w:b/>
          <w:sz w:val="19"/>
        </w:rPr>
        <w:t xml:space="preserve">Bedayati Lebanon  |  </w:t>
      </w:r>
      <w:r>
        <w:rPr>
          <w:sz w:val="19"/>
        </w:rPr>
        <w:t>Beirut, Lebanon  |  June 2019 - Present  |  Recurring assignments</w:t>
      </w:r>
    </w:p>
    <w:p>
      <w:pPr>
        <w:pStyle w:val="ListBullet"/>
      </w:pPr>
      <w:r>
        <w:t>Delivered a 30-hour online web-development bootcamp in 2026 covering responsive web pages, WordPress, WooCommerce, databases, backups and project presentations.</w:t>
      </w:r>
    </w:p>
    <w:p>
      <w:pPr>
        <w:pStyle w:val="ListBullet"/>
      </w:pPr>
      <w:r>
        <w:t>Develop digital literacy and web curricula, provide individual project guidance, and track assessments, learner progress and completion needs.</w:t>
      </w:r>
    </w:p>
    <w:p>
      <w:pPr>
        <w:pStyle w:val="ListBullet"/>
      </w:pPr>
      <w:r>
        <w:t>Coordinate Cisco NetAcad classes and support laptops, networks, websites, WordPress recovery and learner technology requirements.</w:t>
      </w:r>
    </w:p>
    <w:p>
      <w:pPr>
        <w:pStyle w:val="Heading2"/>
        <w:spacing w:before="180"/>
      </w:pPr>
      <w:r>
        <w:rPr>
          <w:color w:val="000000"/>
        </w:rPr>
        <w:t>Founder and Full Stack Developer</w:t>
      </w:r>
    </w:p>
    <w:p>
      <w:pPr>
        <w:keepNext/>
        <w:spacing w:after="60"/>
      </w:pPr>
      <w:r>
        <w:rPr>
          <w:b/>
          <w:sz w:val="19"/>
        </w:rPr>
        <w:t>MABNI  |  Beirut and Remote  |  December 2025 - Present</w:t>
      </w:r>
      <w:r>
        <w:rPr>
          <w:sz w:val="19"/>
        </w:rPr>
      </w:r>
    </w:p>
    <w:p>
      <w:pPr>
        <w:pStyle w:val="ListBullet"/>
      </w:pPr>
      <w:r>
        <w:t>Build customized systems, websites, dashboards and WordPress/WooCommerce solutions through mabni.org, from requirements and databases to deployment and maintenance.</w:t>
      </w:r>
    </w:p>
    <w:p>
      <w:pPr>
        <w:pStyle w:val="ListBullet"/>
      </w:pPr>
      <w:r>
        <w:t>Develop local digital-skills tools and educational resources, using AI-assisted development and practical user feedback to refine applications.</w:t>
      </w:r>
    </w:p>
    <w:p>
      <w:pPr>
        <w:pStyle w:val="Heading2"/>
        <w:spacing w:before="180"/>
      </w:pPr>
      <w:r>
        <w:rPr>
          <w:color w:val="000000"/>
        </w:rPr>
        <w:t>Sales and Technical Support Specialist</w:t>
      </w:r>
    </w:p>
    <w:p>
      <w:pPr>
        <w:keepNext/>
        <w:spacing w:after="60"/>
      </w:pPr>
      <w:r>
        <w:rPr>
          <w:b/>
          <w:sz w:val="19"/>
        </w:rPr>
        <w:t xml:space="preserve">Madi Tech  |  </w:t>
      </w:r>
      <w:r>
        <w:rPr>
          <w:sz w:val="19"/>
        </w:rPr>
        <w:t>Beirut, Lebanon  |  2009 - 2015</w:t>
      </w:r>
    </w:p>
    <w:p>
      <w:pPr>
        <w:pStyle w:val="ListBullet"/>
      </w:pPr>
      <w:r>
        <w:t>Provided computer sales, hardware/software troubleshooting, repair support and small-office technology guidance.</w:t>
      </w:r>
    </w:p>
    <w:p>
      <w:pPr>
        <w:pStyle w:val="Heading1"/>
      </w:pPr>
      <w:r>
        <w:rPr>
          <w:color w:val="000000"/>
        </w:rPr>
        <w:t>SELECTED TECHNICAL DELIVERY</w:t>
      </w:r>
    </w:p>
    <w:p>
      <w:pPr>
        <w:keepLines/>
        <w:spacing w:after="80"/>
      </w:pPr>
      <w:r>
        <w:rPr>
          <w:b/>
        </w:rPr>
        <w:t xml:space="preserve">PSS CareFlow: </w:t>
      </w:r>
      <w:r>
        <w:t>Built a Node.js and MySQL/MariaDB platform for reception queues, family/service records, visit workflows, reporting and role-based access, with local and hosted versions and synchronization.</w:t>
      </w:r>
    </w:p>
    <w:p>
      <w:pPr>
        <w:keepLines/>
        <w:spacing w:after="80"/>
      </w:pPr>
      <w:r>
        <w:rPr>
          <w:b/>
        </w:rPr>
        <w:t xml:space="preserve">Tahaddi platforms: </w:t>
      </w:r>
      <w:r>
        <w:t>Develop education and administrative workflows, local attendance tools and an early-childhood education platform, alongside network-accessible learning resources.</w:t>
      </w:r>
    </w:p>
    <w:p>
      <w:pPr>
        <w:keepLines/>
        <w:spacing w:after="80"/>
      </w:pPr>
      <w:r>
        <w:rPr>
          <w:b/>
        </w:rPr>
        <w:t xml:space="preserve">MABNI commercial websites: </w:t>
      </w:r>
      <w:r>
        <w:t>Rouh Café QR menu and bilingual editing dashboard; Beirut Essence storefront with product variants, stock management and a private product dashboard.</w:t>
      </w:r>
    </w:p>
    <w:p>
      <w:pPr>
        <w:pStyle w:val="Heading1"/>
      </w:pPr>
      <w:r>
        <w:rPr>
          <w:color w:val="000000"/>
        </w:rPr>
        <w:t>TECHNICAL TOOLKIT</w:t>
      </w:r>
    </w:p>
    <w:p>
      <w:pPr>
        <w:keepLines/>
        <w:spacing w:after="80"/>
      </w:pPr>
      <w:r>
        <w:rPr>
          <w:b/>
        </w:rPr>
        <w:t xml:space="preserve">Software: </w:t>
      </w:r>
      <w:r>
        <w:t>JavaScript, Python, SQL, Node.js, MySQL/MariaDB, HTML/CSS, Bootstrap, WordPress, WooCommerce, Firebase and XAMPP.</w:t>
      </w:r>
    </w:p>
    <w:p>
      <w:pPr>
        <w:keepLines/>
        <w:spacing w:after="80"/>
      </w:pPr>
      <w:r>
        <w:rPr>
          <w:b/>
        </w:rPr>
        <w:t xml:space="preserve">IT and applied AI: </w:t>
      </w:r>
      <w:r>
        <w:t>ChatGPT workspace administration, Codex, Microsoft 365, SharePoint, OneDrive, Windows, MikroTik, PoE/DHCP/DNS, pandas, scikit-learn and Dify.</w:t>
      </w:r>
    </w:p>
    <w:p>
      <w:pPr>
        <w:pStyle w:val="Heading1"/>
      </w:pPr>
      <w:r>
        <w:rPr>
          <w:color w:val="000000"/>
        </w:rPr>
        <w:t>EDUCATION AND RECOGNITION</w:t>
      </w:r>
    </w:p>
    <w:p>
      <w:pPr>
        <w:keepLines/>
      </w:pPr>
      <w:r>
        <w:t>BSc in Computer Science, Lebanese International University, 2015 - 2018.</w:t>
      </w:r>
    </w:p>
    <w:p>
      <w:pPr>
        <w:keepLines/>
      </w:pPr>
      <w:r>
        <w:t>AI Starter Kit Professional Certificate, American University of Beirut and ZAKA, March 2026.</w:t>
      </w:r>
    </w:p>
    <w:p>
      <w:pPr>
        <w:keepLines/>
      </w:pPr>
      <w:r>
        <w:t>Micro:bit Champion, 2025 - 2026. Robotics competition head judge and AI challenge judge, 2025.</w:t>
      </w:r>
    </w:p>
    <w:p>
      <w:pPr>
        <w:pStyle w:val="Heading1"/>
      </w:pPr>
      <w:r>
        <w:rPr>
          <w:color w:val="000000"/>
        </w:rPr>
        <w:t>LANGUAGES</w:t>
      </w:r>
    </w:p>
    <w:p>
      <w:pPr>
        <w:keepLines/>
      </w:pPr>
      <w:r>
        <w:t>Arabic: native. English: full professional proficiency. French: advanced reading/listening; limited speaking; basic writing.</w:t>
      </w:r>
    </w:p>
    <w:sectPr w:rsidR="00FC693F" w:rsidRPr="0006063C" w:rsidSect="00034616">
      <w:footerReference w:type="default" r:id="rId9"/>
      <w:pgSz w:w="12240" w:h="15840"/>
      <w:pgMar w:top="835" w:right="979" w:bottom="893" w:left="979" w:header="317"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5141" w:val="center"/>
        <w:tab w:pos="10282" w:val="right"/>
      </w:tabs>
      <w:spacing w:after="0"/>
    </w:pPr>
    <w:r>
      <w:rPr>
        <w:color w:val="4A4A4A"/>
        <w:sz w:val="17"/>
      </w:rPr>
      <w:t>Ahmad Choueib</w:t>
      <w:tab/>
      <w:t>Resume  |  October 2026</w:t>
      <w:tab/>
    </w:r>
    <w:r>
      <w:rPr>
        <w:color w:val="4A4A4A"/>
        <w:sz w:val="17"/>
      </w:rPr>
      <w:fldChar w:fldCharType="begin"/>
      <w:instrText xml:space="preserve"> PAGE </w:instrText>
      <w:fldChar w:fldCharType="separate"/>
      <w:t>1</w:t>
      <w:fldChar w:fldCharType="end"/>
    </w:r>
    <w:r>
      <w:rPr>
        <w:color w:val="4A4A4A"/>
        <w:sz w:val="17"/>
      </w:rPr>
      <w:t xml:space="preserve"> / </w:t>
    </w:r>
    <w:r>
      <w:rPr>
        <w:color w:val="4A4A4A"/>
        <w:sz w:val="17"/>
      </w:rPr>
      <w:fldChar w:fldCharType="begin"/>
      <w:instrText xml:space="preserve"> NUMPAGES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Arial" w:hAnsi="Arial" w:eastAsia="Arial" w:cs="Aria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Arial" w:hAnsi="Arial" w:eastAsia="Arial" w:cs="Aria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Arial" w:hAnsi="Arial" w:eastAsia="Arial" w:cs="Aria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Arial" w:hAnsi="Arial" w:eastAsia="Arial" w:cs="Aria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9" w:lineRule="auto" w:after="80"/>
    </w:pPr>
    <w:rPr>
      <w:rFonts w:ascii="Arial" w:hAnsi="Arial" w:eastAsia="Arial" w:cs="Arial"/>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eastAsia="Arial" w:cs="Arial"/>
      <w:b w:val="0"/>
      <w:color w:val="000000"/>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line="240" w:lineRule="auto"/>
      <w:outlineLvl w:val="0"/>
    </w:pPr>
    <w:rPr>
      <w:rFonts w:ascii="Arial" w:hAnsi="Arial" w:eastAsia="Arial" w:cs="Arial"/>
      <w:b/>
      <w:bCs/>
      <w:color w:val="000000"/>
      <w:sz w:val="23"/>
      <w:szCs w:val="28"/>
    </w:rPr>
  </w:style>
  <w:style w:type="paragraph" w:styleId="Heading2">
    <w:name w:val="heading 2"/>
    <w:basedOn w:val="Normal"/>
    <w:next w:val="Normal"/>
    <w:link w:val="Heading2Char"/>
    <w:uiPriority w:val="9"/>
    <w:unhideWhenUsed/>
    <w:qFormat/>
    <w:rsid w:val="00FC693F"/>
    <w:pPr>
      <w:keepNext/>
      <w:keepLines/>
      <w:spacing w:before="140" w:after="60" w:line="252" w:lineRule="auto"/>
      <w:outlineLvl w:val="1"/>
    </w:pPr>
    <w:rPr>
      <w:rFonts w:ascii="Arial" w:hAnsi="Arial" w:eastAsia="Arial" w:cs="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before="0"/>
      <w:contextualSpacing/>
    </w:pPr>
    <w:rPr>
      <w:rFonts w:ascii="Arial" w:hAnsi="Arial" w:eastAsia="Arial" w:cs="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40"/>
    </w:pPr>
    <w:rPr>
      <w:rFonts w:ascii="Arial" w:hAnsi="Arial" w:eastAsia="Arial" w:cs="Arial"/>
      <w:b w:val="0"/>
      <w:i w:val="0"/>
      <w:iCs/>
      <w:color w:val="000000"/>
      <w:spacing w:val="15"/>
      <w:sz w:val="23"/>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keepLines/>
      <w:numPr>
        <w:numId w:val="1"/>
      </w:numPr>
      <w:spacing w:line="259" w:lineRule="auto" w:after="80"/>
      <w:ind w:left="216" w:hanging="173"/>
      <w:contextualSpacing/>
    </w:pPr>
    <w:rPr>
      <w:rFonts w:ascii="Arial" w:hAnsi="Arial" w:eastAsia="Arial" w:cs="Arial"/>
      <w:b w:val="0"/>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band1Horz">
      <w:tblPr/>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band1Horz">
      <w:tblPr/>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band1Horz">
      <w:tblPr/>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band1Horz">
      <w:tblPr/>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band1Horz">
      <w:tblPr/>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band1Horz">
      <w:tblPr/>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band1Horz">
      <w:tblPr/>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tblStylePr>
    <w:tblStylePr w:type="band1Horz">
      <w:tblP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tblStylePr>
    <w:tblStylePr w:type="band1Horz">
      <w:tblP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tblStylePr>
    <w:tblStylePr w:type="band1Horz">
      <w:tblP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tblStylePr>
    <w:tblStylePr w:type="band1Horz">
      <w:tblP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tblStylePr>
    <w:tblStylePr w:type="band1Horz">
      <w:tblP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tblStylePr>
    <w:tblStylePr w:type="band1Horz">
      <w:tblP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tblStylePr>
    <w:tblStylePr w:type="band1Horz">
      <w:tblPr/>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tcPr>
    </w:tblStylePr>
    <w:tblStylePr w:type="lastRow">
      <w:tblPr/>
      <w:tcPr>
        <w:tcBorders>
          <w:top w:val="single" w:sz="8" w:space="0" w:color="000000" w:themeColor="text1"/>
          <w:left w:val="nil"/>
          <w:bottom w:val="nil"/>
          <w:right w:val="nil"/>
          <w:insideH w:val="nil"/>
          <w:insideV w:val="nil"/>
        </w:tcBorders>
      </w:tcPr>
    </w:tblStylePr>
    <w:tblStylePr w:type="firstCol">
      <w:tblPr/>
      <w:tcPr>
        <w:tcBorders>
          <w:top w:val="nil"/>
          <w:left w:val="nil"/>
          <w:bottom w:val="nil"/>
          <w:right w:val="single" w:sz="8" w:space="0" w:color="000000" w:themeColor="text1"/>
          <w:insideH w:val="nil"/>
          <w:insideV w:val="nil"/>
        </w:tcBorders>
      </w:tcPr>
    </w:tblStylePr>
    <w:tblStylePr w:type="lastCol">
      <w:tblPr/>
      <w:tcPr>
        <w:tcBorders>
          <w:top w:val="nil"/>
          <w:left w:val="single" w:sz="8" w:space="0" w:color="000000" w:themeColor="tex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nwCell">
      <w:tblPr/>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tcPr>
    </w:tblStylePr>
    <w:tblStylePr w:type="lastRow">
      <w:tblPr/>
      <w:tcPr>
        <w:tcBorders>
          <w:top w:val="single" w:sz="8" w:space="0" w:color="4F81BD" w:themeColor="accent1"/>
          <w:left w:val="nil"/>
          <w:bottom w:val="nil"/>
          <w:right w:val="nil"/>
          <w:insideH w:val="nil"/>
          <w:insideV w:val="nil"/>
        </w:tcBorders>
      </w:tcPr>
    </w:tblStylePr>
    <w:tblStylePr w:type="firstCol">
      <w:tblPr/>
      <w:tcPr>
        <w:tcBorders>
          <w:top w:val="nil"/>
          <w:left w:val="nil"/>
          <w:bottom w:val="nil"/>
          <w:right w:val="single" w:sz="8" w:space="0" w:color="4F81BD" w:themeColor="accent1"/>
          <w:insideH w:val="nil"/>
          <w:insideV w:val="nil"/>
        </w:tcBorders>
      </w:tcPr>
    </w:tblStylePr>
    <w:tblStylePr w:type="lastCol">
      <w:tblPr/>
      <w:tcPr>
        <w:tcBorders>
          <w:top w:val="nil"/>
          <w:left w:val="single" w:sz="8" w:space="0" w:color="4F81BD" w:themeColor="accen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nwCell">
      <w:tblPr/>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tcPr>
    </w:tblStylePr>
    <w:tblStylePr w:type="lastRow">
      <w:tblPr/>
      <w:tcPr>
        <w:tcBorders>
          <w:top w:val="single" w:sz="8" w:space="0" w:color="C0504D" w:themeColor="accent2"/>
          <w:left w:val="nil"/>
          <w:bottom w:val="nil"/>
          <w:right w:val="nil"/>
          <w:insideH w:val="nil"/>
          <w:insideV w:val="nil"/>
        </w:tcBorders>
      </w:tcPr>
    </w:tblStylePr>
    <w:tblStylePr w:type="firstCol">
      <w:tblPr/>
      <w:tcPr>
        <w:tcBorders>
          <w:top w:val="nil"/>
          <w:left w:val="nil"/>
          <w:bottom w:val="nil"/>
          <w:right w:val="single" w:sz="8" w:space="0" w:color="C0504D" w:themeColor="accent2"/>
          <w:insideH w:val="nil"/>
          <w:insideV w:val="nil"/>
        </w:tcBorders>
      </w:tcPr>
    </w:tblStylePr>
    <w:tblStylePr w:type="lastCol">
      <w:tblPr/>
      <w:tcPr>
        <w:tcBorders>
          <w:top w:val="nil"/>
          <w:left w:val="single" w:sz="8" w:space="0" w:color="C0504D" w:themeColor="accent2"/>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nwCell">
      <w:tblPr/>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tcPr>
    </w:tblStylePr>
    <w:tblStylePr w:type="lastRow">
      <w:tblPr/>
      <w:tcPr>
        <w:tcBorders>
          <w:top w:val="single" w:sz="8" w:space="0" w:color="9BBB59" w:themeColor="accent3"/>
          <w:left w:val="nil"/>
          <w:bottom w:val="nil"/>
          <w:right w:val="nil"/>
          <w:insideH w:val="nil"/>
          <w:insideV w:val="nil"/>
        </w:tcBorders>
      </w:tcPr>
    </w:tblStylePr>
    <w:tblStylePr w:type="firstCol">
      <w:tblPr/>
      <w:tcPr>
        <w:tcBorders>
          <w:top w:val="nil"/>
          <w:left w:val="nil"/>
          <w:bottom w:val="nil"/>
          <w:right w:val="single" w:sz="8" w:space="0" w:color="9BBB59" w:themeColor="accent3"/>
          <w:insideH w:val="nil"/>
          <w:insideV w:val="nil"/>
        </w:tcBorders>
      </w:tcPr>
    </w:tblStylePr>
    <w:tblStylePr w:type="lastCol">
      <w:tblPr/>
      <w:tcPr>
        <w:tcBorders>
          <w:top w:val="nil"/>
          <w:left w:val="single" w:sz="8" w:space="0" w:color="9BBB59" w:themeColor="accent3"/>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nwCell">
      <w:tblPr/>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tcPr>
    </w:tblStylePr>
    <w:tblStylePr w:type="lastRow">
      <w:tblPr/>
      <w:tcPr>
        <w:tcBorders>
          <w:top w:val="single" w:sz="8" w:space="0" w:color="8064A2" w:themeColor="accent4"/>
          <w:left w:val="nil"/>
          <w:bottom w:val="nil"/>
          <w:right w:val="nil"/>
          <w:insideH w:val="nil"/>
          <w:insideV w:val="nil"/>
        </w:tcBorders>
      </w:tcPr>
    </w:tblStylePr>
    <w:tblStylePr w:type="firstCol">
      <w:tblPr/>
      <w:tcPr>
        <w:tcBorders>
          <w:top w:val="nil"/>
          <w:left w:val="nil"/>
          <w:bottom w:val="nil"/>
          <w:right w:val="single" w:sz="8" w:space="0" w:color="8064A2" w:themeColor="accent4"/>
          <w:insideH w:val="nil"/>
          <w:insideV w:val="nil"/>
        </w:tcBorders>
      </w:tcPr>
    </w:tblStylePr>
    <w:tblStylePr w:type="lastCol">
      <w:tblPr/>
      <w:tcPr>
        <w:tcBorders>
          <w:top w:val="nil"/>
          <w:left w:val="single" w:sz="8" w:space="0" w:color="8064A2" w:themeColor="accent4"/>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nwCell">
      <w:tblPr/>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tcPr>
    </w:tblStylePr>
    <w:tblStylePr w:type="lastRow">
      <w:tblPr/>
      <w:tcPr>
        <w:tcBorders>
          <w:top w:val="single" w:sz="8" w:space="0" w:color="4BACC6" w:themeColor="accent5"/>
          <w:left w:val="nil"/>
          <w:bottom w:val="nil"/>
          <w:right w:val="nil"/>
          <w:insideH w:val="nil"/>
          <w:insideV w:val="nil"/>
        </w:tcBorders>
      </w:tcPr>
    </w:tblStylePr>
    <w:tblStylePr w:type="firstCol">
      <w:tblPr/>
      <w:tcPr>
        <w:tcBorders>
          <w:top w:val="nil"/>
          <w:left w:val="nil"/>
          <w:bottom w:val="nil"/>
          <w:right w:val="single" w:sz="8" w:space="0" w:color="4BACC6" w:themeColor="accent5"/>
          <w:insideH w:val="nil"/>
          <w:insideV w:val="nil"/>
        </w:tcBorders>
      </w:tcPr>
    </w:tblStylePr>
    <w:tblStylePr w:type="lastCol">
      <w:tblPr/>
      <w:tcPr>
        <w:tcBorders>
          <w:top w:val="nil"/>
          <w:left w:val="single" w:sz="8" w:space="0" w:color="4BACC6" w:themeColor="accent5"/>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nwCell">
      <w:tblPr/>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tcPr>
    </w:tblStylePr>
    <w:tblStylePr w:type="lastRow">
      <w:tblPr/>
      <w:tcPr>
        <w:tcBorders>
          <w:top w:val="single" w:sz="8" w:space="0" w:color="F79646" w:themeColor="accent6"/>
          <w:left w:val="nil"/>
          <w:bottom w:val="nil"/>
          <w:right w:val="nil"/>
          <w:insideH w:val="nil"/>
          <w:insideV w:val="nil"/>
        </w:tcBorders>
      </w:tcPr>
    </w:tblStylePr>
    <w:tblStylePr w:type="firstCol">
      <w:tblPr/>
      <w:tcPr>
        <w:tcBorders>
          <w:top w:val="nil"/>
          <w:left w:val="nil"/>
          <w:bottom w:val="nil"/>
          <w:right w:val="single" w:sz="8" w:space="0" w:color="F79646" w:themeColor="accent6"/>
          <w:insideH w:val="nil"/>
          <w:insideV w:val="nil"/>
        </w:tcBorders>
      </w:tcPr>
    </w:tblStylePr>
    <w:tblStylePr w:type="lastCol">
      <w:tblPr/>
      <w:tcPr>
        <w:tcBorders>
          <w:top w:val="nil"/>
          <w:left w:val="single" w:sz="8" w:space="0" w:color="F79646" w:themeColor="accent6"/>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nwCell">
      <w:tblPr/>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tblStylePr>
    <w:tblStylePr w:type="band1Horz">
      <w:tblP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tblStylePr>
    <w:tblStylePr w:type="band1Horz">
      <w:tblP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tblStylePr>
    <w:tblStylePr w:type="band1Horz">
      <w:tblP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tblStylePr>
    <w:tblStylePr w:type="band1Horz">
      <w:tblP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tblStylePr>
    <w:tblStylePr w:type="band1Horz">
      <w:tblP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tblStylePr>
    <w:tblStylePr w:type="band1Horz">
      <w:tblP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tblStylePr>
    <w:tblStylePr w:type="band1Horz">
      <w:tblPr/>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tblStylePr w:type="firstRow">
      <w:rPr>
        <w:b/>
        <w:bCs/>
        <w:color w:val="000000" w:themeColor="text1"/>
      </w:rPr>
      <w:tblPr/>
      <w:tc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Vert">
      <w:tblPr/>
      <w:tcPr/>
    </w:tblStylePr>
    <w:tblStylePr w:type="band1Horz">
      <w:tblPr/>
      <w:tcPr>
        <w:tcBorders>
          <w:insideH w:val="single" w:sz="6" w:space="0" w:color="000000" w:themeColor="text1"/>
          <w:insideV w:val="single" w:sz="6" w:space="0" w:color="000000" w:themeColor="text1"/>
        </w:tcBorders>
      </w:tcPr>
    </w:tblStylePr>
    <w:tblStylePr w:type="nwCell">
      <w:tblPr/>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tblStylePr w:type="firstRow">
      <w:rPr>
        <w:b/>
        <w:bCs/>
        <w:color w:val="000000" w:themeColor="text1"/>
      </w:rPr>
      <w:tblPr/>
      <w:tc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Vert">
      <w:tblPr/>
      <w:tcPr/>
    </w:tblStylePr>
    <w:tblStylePr w:type="band1Horz">
      <w:tblPr/>
      <w:tcPr>
        <w:tcBorders>
          <w:insideH w:val="single" w:sz="6" w:space="0" w:color="4F81BD" w:themeColor="accent1"/>
          <w:insideV w:val="single" w:sz="6" w:space="0" w:color="4F81BD" w:themeColor="accent1"/>
        </w:tcBorders>
      </w:tcPr>
    </w:tblStylePr>
    <w:tblStylePr w:type="nwCell">
      <w:tblPr/>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tblStylePr w:type="firstRow">
      <w:rPr>
        <w:b/>
        <w:bCs/>
        <w:color w:val="000000" w:themeColor="text1"/>
      </w:rPr>
      <w:tblPr/>
      <w:tc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Vert">
      <w:tblPr/>
      <w:tcPr/>
    </w:tblStylePr>
    <w:tblStylePr w:type="band1Horz">
      <w:tblPr/>
      <w:tcPr>
        <w:tcBorders>
          <w:insideH w:val="single" w:sz="6" w:space="0" w:color="C0504D" w:themeColor="accent2"/>
          <w:insideV w:val="single" w:sz="6" w:space="0" w:color="C0504D" w:themeColor="accent2"/>
        </w:tcBorders>
      </w:tcPr>
    </w:tblStylePr>
    <w:tblStylePr w:type="nwCell">
      <w:tblPr/>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tblStylePr w:type="firstRow">
      <w:rPr>
        <w:b/>
        <w:bCs/>
        <w:color w:val="000000" w:themeColor="text1"/>
      </w:rPr>
      <w:tblPr/>
      <w:tc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Vert">
      <w:tblPr/>
      <w:tcPr/>
    </w:tblStylePr>
    <w:tblStylePr w:type="band1Horz">
      <w:tblPr/>
      <w:tcPr>
        <w:tcBorders>
          <w:insideH w:val="single" w:sz="6" w:space="0" w:color="9BBB59" w:themeColor="accent3"/>
          <w:insideV w:val="single" w:sz="6" w:space="0" w:color="9BBB59" w:themeColor="accent3"/>
        </w:tcBorders>
      </w:tcPr>
    </w:tblStylePr>
    <w:tblStylePr w:type="nwCell">
      <w:tblPr/>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tblStylePr w:type="firstRow">
      <w:rPr>
        <w:b/>
        <w:bCs/>
        <w:color w:val="000000" w:themeColor="text1"/>
      </w:rPr>
      <w:tblPr/>
      <w:tc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Vert">
      <w:tblPr/>
      <w:tcPr/>
    </w:tblStylePr>
    <w:tblStylePr w:type="band1Horz">
      <w:tblPr/>
      <w:tcPr>
        <w:tcBorders>
          <w:insideH w:val="single" w:sz="6" w:space="0" w:color="8064A2" w:themeColor="accent4"/>
          <w:insideV w:val="single" w:sz="6" w:space="0" w:color="8064A2" w:themeColor="accent4"/>
        </w:tcBorders>
      </w:tcPr>
    </w:tblStylePr>
    <w:tblStylePr w:type="nwCell">
      <w:tblPr/>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tblStylePr w:type="firstRow">
      <w:rPr>
        <w:b/>
        <w:bCs/>
        <w:color w:val="000000" w:themeColor="text1"/>
      </w:rPr>
      <w:tblPr/>
      <w:tc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Vert">
      <w:tblPr/>
      <w:tcPr/>
    </w:tblStylePr>
    <w:tblStylePr w:type="band1Horz">
      <w:tblPr/>
      <w:tcPr>
        <w:tcBorders>
          <w:insideH w:val="single" w:sz="6" w:space="0" w:color="4BACC6" w:themeColor="accent5"/>
          <w:insideV w:val="single" w:sz="6" w:space="0" w:color="4BACC6" w:themeColor="accent5"/>
        </w:tcBorders>
      </w:tcPr>
    </w:tblStylePr>
    <w:tblStylePr w:type="nwCell">
      <w:tblPr/>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tblStylePr w:type="firstRow">
      <w:rPr>
        <w:b/>
        <w:bCs/>
        <w:color w:val="000000" w:themeColor="text1"/>
      </w:rPr>
      <w:tblPr/>
      <w:tc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Vert">
      <w:tblPr/>
      <w:tcPr/>
    </w:tblStylePr>
    <w:tblStylePr w:type="band1Horz">
      <w:tblPr/>
      <w:tcPr>
        <w:tcBorders>
          <w:insideH w:val="single" w:sz="6" w:space="0" w:color="F79646" w:themeColor="accent6"/>
          <w:insideV w:val="single" w:sz="6" w:space="0" w:color="F79646" w:themeColor="accent6"/>
        </w:tcBorders>
      </w:tcPr>
    </w:tblStylePr>
    <w:tblStylePr w:type="nwCell">
      <w:tblPr/>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band1Vert">
      <w:tblPr/>
      <w:tcPr/>
    </w:tblStylePr>
    <w:tblStylePr w:type="band1Horz">
      <w:tblP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band1Vert">
      <w:tblPr/>
      <w:tcPr/>
    </w:tblStylePr>
    <w:tblStylePr w:type="band1Horz">
      <w:tblP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band1Vert">
      <w:tblPr/>
      <w:tcPr/>
    </w:tblStylePr>
    <w:tblStylePr w:type="band1Horz">
      <w:tblP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tblStylePr w:type="firstRow">
      <w:rPr>
        <w:b/>
        <w:bCs/>
      </w:rPr>
      <w:tblPr/>
      <w:tcPr>
        <w:tcBorders>
          <w:top w:val="nil"/>
          <w:left w:val="nil"/>
          <w:bottom w:val="single" w:sz="24" w:space="0" w:color="8064A2" w:themeColor="accent4"/>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band1Vert">
      <w:tblPr/>
      <w:tcPr/>
    </w:tblStylePr>
    <w:tblStylePr w:type="band1Horz">
      <w:tblP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tblStylePr w:type="firstRow">
      <w:rPr>
        <w:b/>
        <w:bCs/>
      </w:rPr>
      <w:tblPr/>
      <w:tcPr>
        <w:tcBorders>
          <w:top w:val="nil"/>
          <w:left w:val="nil"/>
          <w:bottom w:val="single" w:sz="24" w:space="0" w:color="9BBB59" w:themeColor="accent3"/>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band1Vert">
      <w:tblPr/>
      <w:tcPr/>
    </w:tblStylePr>
    <w:tblStylePr w:type="band1Horz">
      <w:tblP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tblStylePr w:type="firstRow">
      <w:rPr>
        <w:b/>
        <w:bCs/>
      </w:rPr>
      <w:tblPr/>
      <w:tcPr>
        <w:tcBorders>
          <w:top w:val="nil"/>
          <w:left w:val="nil"/>
          <w:bottom w:val="single" w:sz="24" w:space="0" w:color="F79646" w:themeColor="accent6"/>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band1Vert">
      <w:tblPr/>
      <w:tcPr/>
    </w:tblStylePr>
    <w:tblStylePr w:type="band1Horz">
      <w:tblP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tblStylePr w:type="firstRow">
      <w:rPr>
        <w:b/>
        <w:bCs/>
      </w:rPr>
      <w:tblPr/>
      <w:tcPr>
        <w:tcBorders>
          <w:top w:val="nil"/>
          <w:left w:val="nil"/>
          <w:bottom w:val="single" w:sz="24" w:space="0" w:color="4BACC6" w:themeColor="accent5"/>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band1Vert">
      <w:tblPr/>
      <w:tcPr/>
    </w:tblStylePr>
    <w:tblStylePr w:type="band1Horz">
      <w:tblP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tblStylePr w:type="band1Horz">
      <w:tblP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tblStylePr w:type="band1Horz">
      <w:tblP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tblStylePr w:type="band1Horz">
      <w:tblP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tblStylePr w:type="firstRow">
      <w:rPr>
        <w:b/>
        <w:bCs/>
        <w:color w:val="FFFFFF" w:themeColor="background1"/>
      </w:rPr>
      <w:tblPr/>
      <w:tcPr>
        <w:tcBorders>
          <w:bottom w:val="single" w:sz="12" w:space="0" w:color="FFFFFF" w:themeColor="background1"/>
        </w:tcBorders>
      </w:tcPr>
    </w:tblStylePr>
    <w:tblStylePr w:type="lastRow">
      <w:rPr>
        <w:b/>
        <w:bCs/>
        <w:color w:val="664E82" w:themeColor="accent4"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tblStylePr w:type="band1Horz">
      <w:tblP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tblStylePr w:type="firstRow">
      <w:rPr>
        <w:b/>
        <w:bCs/>
        <w:color w:val="FFFFFF" w:themeColor="background1"/>
      </w:rPr>
      <w:tblPr/>
      <w:tcPr>
        <w:tcBorders>
          <w:bottom w:val="single" w:sz="12" w:space="0" w:color="FFFFFF" w:themeColor="background1"/>
        </w:tcBorders>
      </w:tcPr>
    </w:tblStylePr>
    <w:tblStylePr w:type="lastRow">
      <w:rPr>
        <w:b/>
        <w:bCs/>
        <w:color w:val="7E9C40" w:themeColor="accent3"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tblStylePr w:type="band1Horz">
      <w:tblP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tblStylePr w:type="firstRow">
      <w:rPr>
        <w:b/>
        <w:bCs/>
        <w:color w:val="FFFFFF" w:themeColor="background1"/>
      </w:rPr>
      <w:tblPr/>
      <w:tcPr>
        <w:tcBorders>
          <w:bottom w:val="single" w:sz="12" w:space="0" w:color="FFFFFF" w:themeColor="background1"/>
        </w:tcBorders>
      </w:tcPr>
    </w:tblStylePr>
    <w:tblStylePr w:type="lastRow">
      <w:rPr>
        <w:b/>
        <w:bCs/>
        <w:color w:val="F2730A" w:themeColor="accent6"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tblStylePr w:type="band1Horz">
      <w:tblP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tblStylePr w:type="firstRow">
      <w:rPr>
        <w:b/>
        <w:bCs/>
        <w:color w:val="FFFFFF" w:themeColor="background1"/>
      </w:rPr>
      <w:tblPr/>
      <w:tcPr>
        <w:tcBorders>
          <w:bottom w:val="single" w:sz="12" w:space="0" w:color="FFFFFF" w:themeColor="background1"/>
        </w:tcBorders>
      </w:tcPr>
    </w:tblStylePr>
    <w:tblStylePr w:type="lastRow">
      <w:rPr>
        <w:b/>
        <w:bCs/>
        <w:color w:val="348DA5" w:themeColor="accent5"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tblStylePr w:type="band1Horz">
      <w:tblP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tblStylePr w:type="firstRow">
      <w:rPr>
        <w:b/>
        <w:bCs/>
      </w:rPr>
      <w:tblPr/>
      <w:tcPr/>
    </w:tblStylePr>
    <w:tblStylePr w:type="lastRow">
      <w:rPr>
        <w:b/>
        <w:bCs/>
        <w:color w:val="000000" w:themeColor="text1"/>
      </w:rPr>
      <w:tblPr/>
      <w:tcPr/>
    </w:tblStylePr>
    <w:tblStylePr w:type="firstCol">
      <w:rPr>
        <w:color w:val="FFFFFF" w:themeColor="background1"/>
      </w:rPr>
      <w:tblPr/>
      <w:tcPr/>
    </w:tblStylePr>
    <w:tblStylePr w:type="lastCol">
      <w:rPr>
        <w:color w:val="FFFFFF" w:themeColor="background1"/>
      </w:rPr>
      <w:tblPr/>
      <w:tcPr/>
    </w:tblStylePr>
    <w:tblStylePr w:type="band1Vert">
      <w:tblPr/>
      <w:tcPr/>
    </w:tblStylePr>
    <w:tblStylePr w:type="band1Horz">
      <w:tblP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tblStylePr w:type="firstRow">
      <w:rPr>
        <w:b/>
        <w:bCs/>
      </w:rPr>
      <w:tblPr/>
      <w:tcPr/>
    </w:tblStylePr>
    <w:tblStylePr w:type="lastRow">
      <w:rPr>
        <w:b/>
        <w:bCs/>
        <w:color w:val="000000" w:themeColor="text1"/>
      </w:rPr>
      <w:tblPr/>
      <w:tcPr/>
    </w:tblStylePr>
    <w:tblStylePr w:type="firstCol">
      <w:rPr>
        <w:color w:val="FFFFFF" w:themeColor="background1"/>
      </w:rPr>
      <w:tblPr/>
      <w:tcPr/>
    </w:tblStylePr>
    <w:tblStylePr w:type="lastCol">
      <w:rPr>
        <w:color w:val="FFFFFF" w:themeColor="background1"/>
      </w:rPr>
      <w:tblPr/>
      <w:tcPr/>
    </w:tblStylePr>
    <w:tblStylePr w:type="band1Vert">
      <w:tblPr/>
      <w:tcPr/>
    </w:tblStylePr>
    <w:tblStylePr w:type="band1Horz">
      <w:tblP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tblStylePr w:type="firstRow">
      <w:rPr>
        <w:b/>
        <w:bCs/>
      </w:rPr>
      <w:tblPr/>
      <w:tcPr/>
    </w:tblStylePr>
    <w:tblStylePr w:type="lastRow">
      <w:rPr>
        <w:b/>
        <w:bCs/>
        <w:color w:val="000000" w:themeColor="text1"/>
      </w:rPr>
      <w:tblPr/>
      <w:tcPr/>
    </w:tblStylePr>
    <w:tblStylePr w:type="firstCol">
      <w:rPr>
        <w:color w:val="FFFFFF" w:themeColor="background1"/>
      </w:rPr>
      <w:tblPr/>
      <w:tcPr/>
    </w:tblStylePr>
    <w:tblStylePr w:type="lastCol">
      <w:rPr>
        <w:color w:val="FFFFFF" w:themeColor="background1"/>
      </w:rPr>
      <w:tblPr/>
      <w:tcPr/>
    </w:tblStylePr>
    <w:tblStylePr w:type="band1Vert">
      <w:tblPr/>
      <w:tcPr/>
    </w:tblStylePr>
    <w:tblStylePr w:type="band1Horz">
      <w:tblP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tblStylePr w:type="firstRow">
      <w:rPr>
        <w:b/>
        <w:bCs/>
      </w:rPr>
      <w:tblPr/>
      <w:tcPr/>
    </w:tblStylePr>
    <w:tblStylePr w:type="lastRow">
      <w:rPr>
        <w:b/>
        <w:bCs/>
        <w:color w:val="000000" w:themeColor="text1"/>
      </w:rPr>
      <w:tblPr/>
      <w:tcPr/>
    </w:tblStylePr>
    <w:tblStylePr w:type="firstCol">
      <w:rPr>
        <w:color w:val="FFFFFF" w:themeColor="background1"/>
      </w:rPr>
      <w:tblPr/>
      <w:tcPr/>
    </w:tblStylePr>
    <w:tblStylePr w:type="lastCol">
      <w:rPr>
        <w:color w:val="FFFFFF" w:themeColor="background1"/>
      </w:rPr>
      <w:tblPr/>
      <w:tcPr/>
    </w:tblStylePr>
    <w:tblStylePr w:type="band1Vert">
      <w:tblPr/>
      <w:tcPr/>
    </w:tblStylePr>
    <w:tblStylePr w:type="band1Horz">
      <w:tblP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tblStylePr w:type="firstRow">
      <w:rPr>
        <w:b/>
        <w:bCs/>
      </w:rPr>
      <w:tblPr/>
      <w:tcPr/>
    </w:tblStylePr>
    <w:tblStylePr w:type="lastRow">
      <w:rPr>
        <w:b/>
        <w:bCs/>
        <w:color w:val="000000" w:themeColor="text1"/>
      </w:rPr>
      <w:tblPr/>
      <w:tcPr/>
    </w:tblStylePr>
    <w:tblStylePr w:type="firstCol">
      <w:rPr>
        <w:color w:val="FFFFFF" w:themeColor="background1"/>
      </w:rPr>
      <w:tblPr/>
      <w:tcPr/>
    </w:tblStylePr>
    <w:tblStylePr w:type="lastCol">
      <w:rPr>
        <w:color w:val="FFFFFF" w:themeColor="background1"/>
      </w:rPr>
      <w:tblPr/>
      <w:tcPr/>
    </w:tblStylePr>
    <w:tblStylePr w:type="band1Vert">
      <w:tblPr/>
      <w:tcPr/>
    </w:tblStylePr>
    <w:tblStylePr w:type="band1Horz">
      <w:tblP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tblStylePr w:type="firstRow">
      <w:rPr>
        <w:b/>
        <w:bCs/>
      </w:rPr>
      <w:tblPr/>
      <w:tcPr/>
    </w:tblStylePr>
    <w:tblStylePr w:type="lastRow">
      <w:rPr>
        <w:b/>
        <w:bCs/>
        <w:color w:val="000000" w:themeColor="text1"/>
      </w:rPr>
      <w:tblPr/>
      <w:tcPr/>
    </w:tblStylePr>
    <w:tblStylePr w:type="firstCol">
      <w:rPr>
        <w:color w:val="FFFFFF" w:themeColor="background1"/>
      </w:rPr>
      <w:tblPr/>
      <w:tcPr/>
    </w:tblStylePr>
    <w:tblStylePr w:type="lastCol">
      <w:rPr>
        <w:color w:val="FFFFFF" w:themeColor="background1"/>
      </w:rPr>
      <w:tblPr/>
      <w:tcPr/>
    </w:tblStylePr>
    <w:tblStylePr w:type="band1Vert">
      <w:tblPr/>
      <w:tcPr/>
    </w:tblStylePr>
    <w:tblStylePr w:type="band1Horz">
      <w:tblP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tblStylePr w:type="firstRow">
      <w:rPr>
        <w:b/>
        <w:bCs/>
      </w:rPr>
      <w:tblPr/>
      <w:tcPr/>
    </w:tblStylePr>
    <w:tblStylePr w:type="lastRow">
      <w:rPr>
        <w:b/>
        <w:bCs/>
        <w:color w:val="000000" w:themeColor="text1"/>
      </w:rPr>
      <w:tblPr/>
      <w:tcPr/>
    </w:tblStylePr>
    <w:tblStylePr w:type="firstCol">
      <w:rPr>
        <w:color w:val="FFFFFF" w:themeColor="background1"/>
      </w:rPr>
      <w:tblPr/>
      <w:tcPr/>
    </w:tblStylePr>
    <w:tblStylePr w:type="lastCol">
      <w:rPr>
        <w:color w:val="FFFFFF" w:themeColor="background1"/>
      </w:rPr>
      <w:tblPr/>
      <w:tcPr/>
    </w:tblStylePr>
    <w:tblStylePr w:type="band1Vert">
      <w:tblPr/>
      <w:tcPr/>
    </w:tblStylePr>
    <w:tblStylePr w:type="band1Horz">
      <w:tblPr/>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mailto:ahmad@mabni.org" TargetMode="External"/><Relationship Id="rId11" Type="http://schemas.openxmlformats.org/officeDocument/2006/relationships/hyperlink" Target="https://linkedin.com/in/ahmadchoueib" TargetMode="External"/><Relationship Id="rId12" Type="http://schemas.openxmlformats.org/officeDocument/2006/relationships/hyperlink" Target="https://mabni.org" TargetMode="External"/><Relationship Id="rId13" Type="http://schemas.openxmlformats.org/officeDocument/2006/relationships/hyperlink" Target="https://ahmad.mabni.org/" TargetMode="External"/><Relationship Id="rId14" Type="http://schemas.openxmlformats.org/officeDocument/2006/relationships/hyperlink" Target="https://www.linkedin.com/in/ahmadchouei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Ahmad Choueib Resume</dc:title>
  <dc:subject>IT and AI implementation, software development and technology education</dc:subject>
  <dc:creator>Ahmad Choueib</dc:creator>
  <cp:keywords>IT, AI implementation, ChatGPT, Codex, Microsoft 365, Node.js, MySQL, development, teaching</cp:keywords>
  <dc:description/>
  <cp:lastModifiedBy>Ahmad Choueib</cp:lastModifiedBy>
  <cp:revision>1</cp:revision>
  <dcterms:created xsi:type="dcterms:W3CDTF">2013-12-23T23:15:00Z</dcterms:created>
  <dcterms:modified xsi:type="dcterms:W3CDTF">2013-12-23T23:15:00Z</dcterms:modified>
  <cp:category/>
</cp:coreProperties>
</file>